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p>
      <w:pPr>
        <w:pStyle w:val="[Normal]"/>
        <w:pageBreakBefore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356" w:lineRule="exact"/>
        <w:rPr>
          <w:color w:val="000000"/>
          <w:sz w:val="20"/>
          <w:shd w:val="clear" w:fill="auto"/>
        </w:rPr>
      </w:pPr>
      <w:r>
        <w:drawing>
          <wp:anchor distT="0" distB="0" distL="0" distR="0" simplePos="0" relativeHeight="251659263" behindDoc="1" locked="0" layoutInCell="1" allowOverlap="1" hidden="false">
            <wp:simplePos x="0" y="0"/>
            <wp:positionH relativeFrom="column">
              <wp:posOffset>238125</wp:posOffset>
            </wp:positionH>
            <wp:positionV relativeFrom="paragraph">
              <wp:posOffset>7553960</wp:posOffset>
            </wp:positionV>
            <wp:extent cx="113030" cy="114935"/>
            <wp:wrapNone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7" behindDoc="1" locked="0" layoutInCell="1" allowOverlap="1" hidden="false">
            <wp:simplePos x="0" y="0"/>
            <wp:positionH relativeFrom="column">
              <wp:posOffset>238125</wp:posOffset>
            </wp:positionH>
            <wp:positionV relativeFrom="paragraph">
              <wp:posOffset>6575425</wp:posOffset>
            </wp:positionV>
            <wp:extent cx="113030" cy="114935"/>
            <wp:wrapNone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1" behindDoc="1" locked="0" layoutInCell="1" allowOverlap="1" hidden="false">
            <wp:simplePos x="0" y="0"/>
            <wp:positionH relativeFrom="column">
              <wp:posOffset>26670</wp:posOffset>
            </wp:positionH>
            <wp:positionV relativeFrom="paragraph">
              <wp:posOffset>10058400</wp:posOffset>
            </wp:positionV>
            <wp:extent cx="6199505" cy="48260"/>
            <wp:wrapNone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6199505" cy="4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5" behindDoc="1" locked="0" layoutInCell="1" allowOverlap="1" hidden="false">
            <wp:simplePos x="0" y="0"/>
            <wp:positionH relativeFrom="column">
              <wp:posOffset>-483235</wp:posOffset>
            </wp:positionH>
            <wp:positionV relativeFrom="paragraph">
              <wp:posOffset>356235</wp:posOffset>
            </wp:positionV>
            <wp:extent cx="4306570" cy="786130"/>
            <wp:wrapNone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430657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59" behindDoc="1" locked="0" layoutInCell="1" allowOverlap="1" hidden="false">
            <wp:simplePos x="0" y="0"/>
            <wp:positionH relativeFrom="column">
              <wp:posOffset>238125</wp:posOffset>
            </wp:positionH>
            <wp:positionV relativeFrom="paragraph">
              <wp:posOffset>7228205</wp:posOffset>
            </wp:positionV>
            <wp:extent cx="113030" cy="114935"/>
            <wp:wrapNone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0"/>
          <w:shd w:val="clear" w:fill="auto"/>
        </w:rPr>
        <w:t xml:space="preserve">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563" w:lineRule="exact"/>
        <w:ind w:left="9"/>
        <w:rPr>
          <w:rFonts w:ascii="Verdana" w:hAnsi="Verdana" w:eastAsia="Verdana"/>
          <w:b w:val="on"/>
          <w:color w:val="000000"/>
          <w:shd w:val="clear" w:fill="auto"/>
        </w:rPr>
      </w:pPr>
      <w:r>
        <w:rPr>
          <w:rFonts w:ascii="Verdana" w:hAnsi="Verdana" w:eastAsia="Verdana"/>
          <w:b w:val="on"/>
          <w:color w:val="000000"/>
          <w:shd w:val="clear" w:fill="auto"/>
        </w:rPr>
        <w:t xml:space="preserve">Belegerteilungspflicht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Ab 1.1.2016 müssen Unternehmer im Sinne des Umsatzsteuergesetzes (auch Vermieter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und Kleinunternehmer) für jede empfangene Barzahlung einen Beleg ausstellen. Dieser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Beleg kann auch elektronisch übermittelt werden. Zu den Barumsätzen zählen auch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9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Zahlungen mit Bankomatkarte, Kreditkarte oder mit Gutscheinen. Diese Verpflichtung gilt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508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unabhängig von der Höhe des Jahresumsatzes und vom Betrag der Barzahlung.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b w:val="on"/>
          <w:color w:val="000000"/>
          <w:sz w:val="20"/>
          <w:shd w:val="clear" w:fill="auto"/>
        </w:rPr>
      </w:pPr>
      <w:r>
        <w:rPr>
          <w:rFonts w:ascii="Verdana" w:hAnsi="Verdana" w:eastAsia="Verdana"/>
          <w:b w:val="on"/>
          <w:color w:val="000000"/>
          <w:sz w:val="20"/>
          <w:shd w:val="clear" w:fill="auto"/>
        </w:rPr>
        <w:t xml:space="preserve">Mindestangaben am Beleg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Ungeachtet der im Umsatzsteuergesetz geforderten Rechnungsmerkmale muss der Beleg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mindestens folgende Angaben enthalten: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9" w:lineRule="exact"/>
        <w:ind w:left="36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1.</w:t>
      </w:r>
      <w:r>
        <w:rPr>
          <w:color w:val="000000"/>
          <w:sz w:val="20"/>
          <w:shd w:val="clear" w:fill="auto"/>
        </w:rPr>
        <w:t xml:space="preserve"> </w:t>
      </w:r>
      <w:r>
        <w:rPr>
          <w:rFonts w:ascii="Verdana" w:hAnsi="Verdana" w:eastAsia="Verdana"/>
          <w:color w:val="000000"/>
          <w:sz w:val="20"/>
          <w:shd w:val="clear" w:fill="auto"/>
        </w:rPr>
        <w:t xml:space="preserve">eindeutige Bezeichnung des liefernden oder leistenden Unternehmers oder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9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desjenigen, der statt des Unternehmens einen Beleg erteilen kann, 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36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2.</w:t>
      </w:r>
      <w:r>
        <w:rPr>
          <w:color w:val="000000"/>
          <w:sz w:val="20"/>
          <w:shd w:val="clear" w:fill="auto"/>
        </w:rPr>
        <w:t xml:space="preserve"> </w:t>
      </w:r>
      <w:r>
        <w:rPr>
          <w:rFonts w:ascii="Verdana" w:hAnsi="Verdana" w:eastAsia="Verdana"/>
          <w:color w:val="000000"/>
          <w:sz w:val="20"/>
          <w:shd w:val="clear" w:fill="auto"/>
        </w:rPr>
        <w:t xml:space="preserve">fortlaufende Nummer mit einer oder mehreren Zahlenreihen, die zur Identifizierung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des Geschäftsvorfalles einmalig vergeben wird, 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9" w:lineRule="exact"/>
        <w:ind w:left="36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3.</w:t>
      </w:r>
      <w:r>
        <w:rPr>
          <w:color w:val="000000"/>
          <w:sz w:val="20"/>
          <w:shd w:val="clear" w:fill="auto"/>
        </w:rPr>
        <w:t xml:space="preserve"> </w:t>
      </w:r>
      <w:r>
        <w:rPr>
          <w:rFonts w:ascii="Verdana" w:hAnsi="Verdana" w:eastAsia="Verdana"/>
          <w:color w:val="000000"/>
          <w:sz w:val="20"/>
          <w:shd w:val="clear" w:fill="auto"/>
        </w:rPr>
        <w:t xml:space="preserve">Tag der Belegausstellung, 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36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4.</w:t>
      </w:r>
      <w:r>
        <w:rPr>
          <w:color w:val="000000"/>
          <w:sz w:val="20"/>
          <w:shd w:val="clear" w:fill="auto"/>
        </w:rPr>
        <w:t xml:space="preserve"> </w:t>
      </w:r>
      <w:r>
        <w:rPr>
          <w:rFonts w:ascii="Verdana" w:hAnsi="Verdana" w:eastAsia="Verdana"/>
          <w:color w:val="000000"/>
          <w:sz w:val="20"/>
          <w:shd w:val="clear" w:fill="auto"/>
        </w:rPr>
        <w:t xml:space="preserve">Menge und handelsübliche Bezeichnung der gelieferten Gegenstände oder Art und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9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Umfang der sonstigen Leistungen und 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36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5.</w:t>
      </w:r>
      <w:r>
        <w:rPr>
          <w:color w:val="000000"/>
          <w:sz w:val="20"/>
          <w:shd w:val="clear" w:fill="auto"/>
        </w:rPr>
        <w:t xml:space="preserve"> </w:t>
      </w:r>
      <w:r>
        <w:rPr>
          <w:rFonts w:ascii="Verdana" w:hAnsi="Verdana" w:eastAsia="Verdana"/>
          <w:color w:val="000000"/>
          <w:sz w:val="20"/>
          <w:shd w:val="clear" w:fill="auto"/>
        </w:rPr>
        <w:t xml:space="preserve">Betrag der Barzahlung – wobei es genügt, wenn dieser auf Grund der Belegangaben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rechnerisch ermittelbar ist.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9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Zusätzliche Angaben sind erforderlich, wenn eine elektronische Registrierkasse verwendet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wird.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Die Punkte 1 und 4 können auch durch Symbole oder Schlüsselzahlen ausgedrückt werden,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wenn ihre eindeutige Bestimmung aus dem Beleg oder anderen Unterlagen ersichtlich ist.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Ist der Empfänger der Leistung bzw. Lieferung Unternehmer, können die im 4. Punkt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geforderten Angaben auch in anderen Unterlagen enthalten sein, wenn auf diese Unterlagen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9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im Beleg hingewiesen wird. Der Unternehmer muss eine Durchschrift oder eine sonstige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508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Zweitschrift anfertigen und aufbewahren.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b w:val="on"/>
          <w:color w:val="000000"/>
          <w:sz w:val="20"/>
          <w:shd w:val="clear" w:fill="auto"/>
        </w:rPr>
      </w:pPr>
      <w:r>
        <w:rPr>
          <w:rFonts w:ascii="Verdana" w:hAnsi="Verdana" w:eastAsia="Verdana"/>
          <w:b w:val="on"/>
          <w:color w:val="000000"/>
          <w:sz w:val="20"/>
          <w:shd w:val="clear" w:fill="auto"/>
        </w:rPr>
        <w:t xml:space="preserve">Ausnahmen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Von der Belegerteilungspflicht ausgenommen sind z. B.: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9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Unternehmer, die ihre Tätigkeit im Freien ausüben (von Haus zu Haus oder auf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öffentlichen Wegen, Straßen usw.) jedoch nicht in oder in Verbindung mit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festumschlossenen Räumlichkeiten – bis zu einem Jahresumsatz von € 30.000,00 je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9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Betrieb, 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unentbehrliche Hilfsbetriebe und unter gewissen Voraussetzungen auch entbehrliche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9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Hilfsbetriebe abgabenrechtlich begünstigter Körperschaften (wie z. B. Sportvereine), 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Automaten, die vor dem 1.1.2016 in Betrieb genommen wurden, sofern der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513" w:lineRule="exact"/>
        <w:ind w:left="72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Einzelumsatz € 20,00 nicht übersteigt.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b w:val="on"/>
          <w:color w:val="000000"/>
          <w:sz w:val="20"/>
          <w:shd w:val="clear" w:fill="auto"/>
        </w:rPr>
      </w:pPr>
      <w:r>
        <w:rPr>
          <w:rFonts w:ascii="Verdana" w:hAnsi="Verdana" w:eastAsia="Verdana"/>
          <w:b w:val="on"/>
          <w:color w:val="000000"/>
          <w:sz w:val="20"/>
          <w:shd w:val="clear" w:fill="auto"/>
        </w:rPr>
        <w:t xml:space="preserve">Strafen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Hält sich der Unternehmer nicht an diese Verpflichtung, begeht er eine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508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Finanzordnungswidrigkeit. Der Strafrahmen liegt in diesem Fall bei bis zu € 5.000,00.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4" w:lineRule="exact"/>
        <w:ind w:left="9"/>
        <w:rPr>
          <w:rFonts w:ascii="Verdana" w:hAnsi="Verdana" w:eastAsia="Verdana"/>
          <w:b w:val="on"/>
          <w:color w:val="000000"/>
          <w:sz w:val="20"/>
          <w:shd w:val="clear" w:fill="auto"/>
        </w:rPr>
      </w:pPr>
      <w:r>
        <w:rPr>
          <w:rFonts w:ascii="Verdana" w:hAnsi="Verdana" w:eastAsia="Verdana"/>
          <w:b w:val="on"/>
          <w:color w:val="000000"/>
          <w:sz w:val="20"/>
          <w:shd w:val="clear" w:fill="auto"/>
        </w:rPr>
        <w:t xml:space="preserve">Hat die Belegerteilungspflicht Auswirkungen auf Kunden?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259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Kunden müssen den Beleg aufbewahren, bis sie sich außerhalb der Geschäftsräumlichkeiten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733" w:lineRule="exact"/>
        <w:ind w:left="9"/>
        <w:rPr>
          <w:rFonts w:ascii="Verdana" w:hAnsi="Verdana" w:eastAsia="Verdana"/>
          <w:color w:val="000000"/>
          <w:sz w:val="20"/>
          <w:shd w:val="clear" w:fill="auto"/>
        </w:rPr>
      </w:pPr>
      <w:r>
        <w:rPr>
          <w:rFonts w:ascii="Verdana" w:hAnsi="Verdana" w:eastAsia="Verdana"/>
          <w:color w:val="000000"/>
          <w:sz w:val="20"/>
          <w:shd w:val="clear" w:fill="auto"/>
        </w:rPr>
        <w:t xml:space="preserve">befinden – es gibt jedoch keine finanzstrafrechtlichen Konsequenzen.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1016" w:lineRule="exact"/>
        <w:ind w:left="9"/>
        <w:rPr>
          <w:rFonts w:ascii="Verdana" w:hAnsi="Verdana" w:eastAsia="Verdana"/>
          <w:color w:val="000000"/>
          <w:sz w:val="19"/>
          <w:shd w:val="clear" w:fill="auto"/>
        </w:rPr>
      </w:pPr>
      <w:r>
        <w:rPr>
          <w:rFonts w:ascii="Verdana" w:hAnsi="Verdana" w:eastAsia="Verdana"/>
          <w:color w:val="000000"/>
          <w:sz w:val="19"/>
          <w:shd w:val="clear" w:fill="auto"/>
        </w:rPr>
        <w:t xml:space="preserve">Stand: 27. Oktober 2015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167" w:lineRule="exact"/>
        <w:rPr>
          <w:rFonts w:ascii="Verdana" w:hAnsi="Verdana" w:eastAsia="Verdana"/>
          <w:color w:val="4D4A45"/>
          <w:sz w:val="14"/>
          <w:shd w:val="clear" w:fill="auto"/>
        </w:rPr>
      </w:pPr>
      <w:r>
        <w:rPr>
          <w:rFonts w:ascii="Verdana" w:hAnsi="Verdana" w:eastAsia="Verdana"/>
          <w:color w:val="4D4A45"/>
          <w:sz w:val="14"/>
          <w:shd w:val="clear" w:fill="auto"/>
        </w:rPr>
        <w:t xml:space="preserve">Mitglied des Europäischen Verbandes für Psychotherapie - EAP :: Member of the World Council for Psychotherapy – WCP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172" w:lineRule="exact"/>
        <w:rPr>
          <w:rFonts w:ascii="Verdana" w:hAnsi="Verdana" w:eastAsia="Verdana"/>
          <w:color w:val="4D4A45"/>
          <w:sz w:val="14"/>
          <w:shd w:val="clear" w:fill="auto"/>
        </w:rPr>
      </w:pPr>
      <w:r>
        <w:rPr>
          <w:rFonts w:ascii="Verdana" w:hAnsi="Verdana" w:eastAsia="Verdana"/>
          <w:color w:val="4D4A45"/>
          <w:sz w:val="14"/>
          <w:shd w:val="clear" w:fill="auto"/>
        </w:rPr>
        <w:t xml:space="preserve">1030 Wien :: Löwengasse 3/3/4 :: T +43.1.512 70 90. 0 :: F +43.1.512 70 90. 44 :: oebvp@psychotherapie.at :: www.psychotherapie.at </w:t>
      </w:r>
    </w:p>
    <w:p>
      <w:pPr>
        <w:pStyle w:val="[Normal]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/>
          <w:color w:val="4D4A45"/>
          <w:sz w:val="14"/>
          <w:shd w:val="clear" w:fill="auto"/>
        </w:rPr>
      </w:pPr>
      <w:r>
        <w:rPr>
          <w:rFonts w:ascii="Verdana" w:hAnsi="Verdana" w:eastAsia="Verdana"/>
          <w:color w:val="4D4A45"/>
          <w:sz w:val="14"/>
          <w:shd w:val="clear" w:fill="auto"/>
        </w:rPr>
        <w:t xml:space="preserve">ZVR-Zahl 631430174 :: DVR 0738506 :: UID.Nr. ATU56420233 </w:t>
      </w:r>
    </w:p>
    <w:sectPr>
      <w:type w:val="continuous"/>
      <w:pgSz w:w="11900" w:h="16840"/>
      <w:pgMar w:top="0" w:right="0" w:bottom="0" w:left="1123" w:header="720" w:footer="720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Verdan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bordersDoNotSurroundHeader/>
  <w:bordersDoNotSurroundFooter/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image" Target="media/image0001.bmp"/>
	<Relationship Id="rId00006" Type="http://schemas.openxmlformats.org/officeDocument/2006/relationships/image" Target="media/image0002.bmp"/>
	<Relationship Id="rId00007" Type="http://schemas.openxmlformats.org/officeDocument/2006/relationships/image" Target="media/image0003.bmp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bmp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19.0.142.500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